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盈江县太平镇芒允中学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盈江县太平镇芒允中学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盈江县太平镇芒允中学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太平镇芒允中学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盈江县太平镇芒允中学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20</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盈江县太平镇芒允中学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bookmarkStart w:id="0" w:name="_GoBack"/>
      <w:bookmarkEnd w:id="0"/>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color w:val="auto"/>
          <w:kern w:val="0"/>
          <w:sz w:val="28"/>
          <w:szCs w:val="28"/>
          <w:lang w:val="en-US" w:eastAsia="zh-CN" w:bidi="ar-SA"/>
        </w:rPr>
        <w:t>盈江县太平镇芒允中学设置办公室1个、教务处1个、总务处1个、政教处1个共4个职能科室。</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10"/>
          <w:sz w:val="30"/>
          <w:szCs w:val="30"/>
          <w:lang w:eastAsia="zh-CN"/>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办学思想。</w:t>
      </w:r>
      <w:r>
        <w:rPr>
          <w:rFonts w:hint="eastAsia" w:ascii="仿宋_GB2312" w:hAnsi="仿宋_GB2312" w:eastAsia="仿宋_GB2312" w:cs="仿宋_GB2312"/>
          <w:kern w:val="10"/>
          <w:sz w:val="30"/>
          <w:szCs w:val="30"/>
          <w:lang w:eastAsia="zh-CN"/>
        </w:rPr>
        <w:t>学校</w:t>
      </w:r>
      <w:r>
        <w:rPr>
          <w:rFonts w:hint="eastAsia" w:ascii="仿宋_GB2312" w:hAnsi="仿宋_GB2312" w:eastAsia="仿宋_GB2312" w:cs="仿宋_GB2312"/>
          <w:kern w:val="10"/>
          <w:sz w:val="30"/>
          <w:szCs w:val="30"/>
        </w:rPr>
        <w:t>本着“教师成长、学生成才”的办学理念，以“团结拼搏、锐意进取”为校风，以“兴教育人、务实创新”为教风，以“勤思好学、努力奋进”为学风，立足于学生的巩固、养成教育方面的发展，培养学生良好学习习惯，不断改善学校办学条件和校园环境，努力创建一个花园式的学校</w:t>
      </w:r>
      <w:r>
        <w:rPr>
          <w:rFonts w:hint="eastAsia" w:ascii="仿宋_GB2312" w:hAnsi="仿宋_GB2312" w:eastAsia="仿宋_GB2312" w:cs="仿宋_GB2312"/>
          <w:kern w:val="10"/>
          <w:sz w:val="30"/>
          <w:szCs w:val="30"/>
          <w:lang w:eastAsia="zh-CN"/>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抓德育工作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Style w:val="9"/>
          <w:rFonts w:hint="eastAsia" w:ascii="仿宋_GB2312" w:hAnsi="仿宋_GB2312" w:eastAsia="仿宋_GB2312" w:cs="仿宋_GB2312"/>
          <w:b w:val="0"/>
          <w:bCs w:val="0"/>
          <w:sz w:val="30"/>
          <w:szCs w:val="30"/>
        </w:rPr>
      </w:pPr>
      <w:r>
        <w:rPr>
          <w:rStyle w:val="9"/>
          <w:rFonts w:hint="eastAsia" w:ascii="仿宋_GB2312" w:hAnsi="仿宋_GB2312" w:eastAsia="仿宋_GB2312" w:cs="仿宋_GB2312"/>
          <w:b w:val="0"/>
          <w:sz w:val="30"/>
          <w:szCs w:val="30"/>
        </w:rPr>
        <w:t>德育工作以构建和谐校园为工作重点。学校以活动为载体，促进德育工作，坚持以德育为首，育人为本的办学方向，努力创建平安和谐校园。</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安全工作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学校重视校园安全工作，树立校园安全无小事的安全意识，做到校园安全警钟长鸣。</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县域内义务教育基本均衡达标工作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认真做好学生综合素质评价工作，及小升初整体移交工作，201</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年小升初整体移交7</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人。</w:t>
      </w:r>
    </w:p>
    <w:p>
      <w:pPr>
        <w:keepNext w:val="0"/>
        <w:keepLines w:val="0"/>
        <w:pageBreakBefore w:val="0"/>
        <w:kinsoku/>
        <w:wordWrap/>
        <w:overflowPunct/>
        <w:topLinePunct w:val="0"/>
        <w:autoSpaceDE/>
        <w:autoSpaceDN/>
        <w:bidi w:val="0"/>
        <w:adjustRightInd/>
        <w:snapToGrid/>
        <w:ind w:left="-181" w:leftChars="-86" w:right="25" w:rightChars="12" w:firstLine="600" w:firstLineChars="200"/>
        <w:jc w:val="both"/>
        <w:textAlignment w:val="auto"/>
        <w:outlineLvl w:val="9"/>
        <w:rPr>
          <w:rFonts w:hint="eastAsia" w:ascii="仿宋_GB2312" w:hAnsi="仿宋_GB2312" w:eastAsia="仿宋_GB2312" w:cs="仿宋_GB2312"/>
          <w:sz w:val="30"/>
          <w:szCs w:val="30"/>
        </w:rPr>
      </w:pPr>
      <w:r>
        <w:rPr>
          <w:rStyle w:val="9"/>
          <w:rFonts w:hint="eastAsia" w:ascii="仿宋_GB2312" w:hAnsi="仿宋_GB2312" w:eastAsia="仿宋_GB2312" w:cs="仿宋_GB2312"/>
          <w:b w:val="0"/>
          <w:bCs w:val="0"/>
          <w:sz w:val="30"/>
          <w:szCs w:val="30"/>
        </w:rPr>
        <w:t xml:space="preserve"> 学校成立控辍保学工作领导小组，并完善了《</w:t>
      </w:r>
      <w:r>
        <w:rPr>
          <w:rStyle w:val="9"/>
          <w:rFonts w:hint="eastAsia" w:ascii="仿宋_GB2312" w:hAnsi="仿宋_GB2312" w:eastAsia="仿宋_GB2312" w:cs="仿宋_GB2312"/>
          <w:b w:val="0"/>
          <w:bCs w:val="0"/>
          <w:sz w:val="30"/>
          <w:szCs w:val="30"/>
          <w:lang w:eastAsia="zh-CN"/>
        </w:rPr>
        <w:t>盈江县太平镇芒允中学</w:t>
      </w:r>
      <w:r>
        <w:rPr>
          <w:rStyle w:val="9"/>
          <w:rFonts w:hint="eastAsia" w:ascii="仿宋_GB2312" w:hAnsi="仿宋_GB2312" w:eastAsia="仿宋_GB2312" w:cs="仿宋_GB2312"/>
          <w:b w:val="0"/>
          <w:bCs w:val="0"/>
          <w:sz w:val="30"/>
          <w:szCs w:val="30"/>
        </w:rPr>
        <w:t>控辍保学工作实施方案》，将巩固率作为班主任、教师绩效考核的重要内容。</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教师队伍建设工作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lang w:val="zh-CN"/>
        </w:rPr>
      </w:pPr>
      <w:r>
        <w:rPr>
          <w:rFonts w:hint="eastAsia" w:ascii="仿宋_GB2312" w:hAnsi="仿宋_GB2312" w:eastAsia="仿宋_GB2312" w:cs="仿宋_GB2312"/>
          <w:sz w:val="30"/>
          <w:szCs w:val="30"/>
        </w:rPr>
        <w:t>学校设立了办公室、教务处、政教处、总务处等管理机构</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加强学习，努力提高教师思想政治素质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不断建立和完善教师管理制度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kern w:val="0"/>
          <w:sz w:val="30"/>
          <w:szCs w:val="30"/>
          <w:lang w:val="zh-CN"/>
        </w:rPr>
        <w:t>抓好党风廉政建设工作。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教育教学工作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Style w:val="9"/>
          <w:rFonts w:hint="eastAsia" w:ascii="仿宋_GB2312" w:hAnsi="仿宋_GB2312" w:eastAsia="仿宋_GB2312" w:cs="仿宋_GB2312"/>
          <w:b w:val="0"/>
          <w:bCs w:val="0"/>
          <w:sz w:val="30"/>
          <w:szCs w:val="30"/>
        </w:rPr>
      </w:pPr>
      <w:r>
        <w:rPr>
          <w:rFonts w:hint="eastAsia" w:ascii="仿宋_GB2312" w:hAnsi="仿宋_GB2312" w:eastAsia="仿宋_GB2312" w:cs="仿宋_GB2312"/>
          <w:sz w:val="30"/>
          <w:szCs w:val="30"/>
        </w:rPr>
        <w:t>加强理论学习，转变教学观念，积极推进课堂改革</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教研活动形式多样化，效果良好。我校主要开展听课、评课、说课、集体备课、观看教学录像、召开座谈会，到校外其他学校进行交流、观摩学习等多种形式进行教研组活动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教学常规工作</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一是完善《</w:t>
      </w:r>
      <w:r>
        <w:rPr>
          <w:rFonts w:hint="eastAsia" w:ascii="仿宋_GB2312" w:hAnsi="仿宋_GB2312" w:eastAsia="仿宋_GB2312" w:cs="仿宋_GB2312"/>
          <w:sz w:val="30"/>
          <w:szCs w:val="30"/>
          <w:lang w:eastAsia="zh-CN"/>
        </w:rPr>
        <w:t>盈江县太平镇芒允中学</w:t>
      </w:r>
      <w:r>
        <w:rPr>
          <w:rFonts w:hint="eastAsia" w:ascii="仿宋_GB2312" w:hAnsi="仿宋_GB2312" w:eastAsia="仿宋_GB2312" w:cs="仿宋_GB2312"/>
          <w:sz w:val="30"/>
          <w:szCs w:val="30"/>
        </w:rPr>
        <w:t>教学常规管理制度》，定期不定期对教师的教学常规工作，将结果在校务会上公布，并纳入教师的年终考核中去。二是根据教科中心统一安排，结合学校实际，圆满完成期中、期末考试、初三每月的月考、模拟考试、中考、小升初测试等。三是认真做好初三毕业班复习备考工作</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认真落实教师的培训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抓好教学质量。</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其它工作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学校加强党组织建设，认真开展“两学一做”学习教育，</w:t>
      </w:r>
      <w:r>
        <w:rPr>
          <w:rFonts w:hint="eastAsia" w:ascii="仿宋_GB2312" w:hAnsi="仿宋_GB2312" w:eastAsia="仿宋_GB2312" w:cs="仿宋_GB2312"/>
          <w:kern w:val="0"/>
          <w:sz w:val="30"/>
          <w:szCs w:val="30"/>
          <w:lang w:val="zh-CN"/>
        </w:rPr>
        <w:t>深入推进党风廉政建设；</w:t>
      </w:r>
      <w:r>
        <w:rPr>
          <w:rFonts w:hint="eastAsia" w:ascii="仿宋_GB2312" w:hAnsi="仿宋_GB2312" w:eastAsia="仿宋_GB2312" w:cs="仿宋_GB2312"/>
          <w:sz w:val="30"/>
          <w:szCs w:val="30"/>
        </w:rPr>
        <w:t>学校积极向上级汇报，争取领导支持不断改善校舍。在县教育和上级领导的关心帮助下，学校200米环形跑道，及综合楼正在建设之中。学校办学条件、校园环境得到了明显改善</w:t>
      </w:r>
      <w:r>
        <w:rPr>
          <w:rFonts w:hint="eastAsia" w:ascii="仿宋_GB2312" w:hAnsi="仿宋_GB2312" w:eastAsia="仿宋_GB2312" w:cs="仿宋_GB2312"/>
          <w:sz w:val="30"/>
          <w:szCs w:val="30"/>
          <w:lang w:eastAsia="zh-CN"/>
        </w:rPr>
        <w:t>；</w:t>
      </w:r>
      <w:r>
        <w:rPr>
          <w:rStyle w:val="9"/>
          <w:rFonts w:hint="eastAsia" w:ascii="仿宋_GB2312" w:hAnsi="仿宋_GB2312" w:eastAsia="仿宋_GB2312" w:cs="仿宋_GB2312"/>
          <w:b w:val="0"/>
          <w:bCs w:val="0"/>
          <w:sz w:val="30"/>
          <w:szCs w:val="30"/>
        </w:rPr>
        <w:t>因地制宜开展勤工俭学工作</w:t>
      </w:r>
      <w:r>
        <w:rPr>
          <w:rStyle w:val="9"/>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sz w:val="30"/>
          <w:szCs w:val="30"/>
        </w:rPr>
        <w:t>加强法制宣传教育，制定“七五”普法方案，开展形式多样的法制宣教育活动</w:t>
      </w:r>
      <w:r>
        <w:rPr>
          <w:rFonts w:hint="eastAsia" w:ascii="仿宋_GB2312" w:hAnsi="仿宋_GB2312" w:eastAsia="仿宋_GB2312" w:cs="仿宋_GB2312"/>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29</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29</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32</w:t>
      </w:r>
      <w:r>
        <w:rPr>
          <w:rFonts w:hint="eastAsia" w:ascii="仿宋_GB2312" w:hAnsi="仿宋_GB2312" w:eastAsia="仿宋_GB2312" w:cs="仿宋_GB2312"/>
          <w:color w:val="000000" w:themeColor="text1"/>
          <w:kern w:val="0"/>
          <w:sz w:val="30"/>
          <w:szCs w:val="30"/>
        </w:rPr>
        <w:t xml:space="preserve">人，其中： 财政全供养 </w:t>
      </w:r>
      <w:r>
        <w:rPr>
          <w:rFonts w:hint="eastAsia" w:ascii="仿宋_GB2312" w:hAnsi="仿宋_GB2312" w:eastAsia="仿宋_GB2312" w:cs="仿宋_GB2312"/>
          <w:color w:val="000000" w:themeColor="text1"/>
          <w:kern w:val="0"/>
          <w:sz w:val="30"/>
          <w:szCs w:val="30"/>
          <w:lang w:val="en-US" w:eastAsia="zh-CN"/>
        </w:rPr>
        <w:t>32</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4</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4</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盈江县太平镇芒允中学</w:t>
      </w:r>
      <w:r>
        <w:rPr>
          <w:rFonts w:eastAsia="仿宋_GB2312"/>
          <w:kern w:val="0"/>
          <w:sz w:val="30"/>
          <w:szCs w:val="30"/>
        </w:rPr>
        <w:t>财务总收入</w:t>
      </w:r>
      <w:r>
        <w:rPr>
          <w:rFonts w:hint="eastAsia" w:eastAsia="仿宋_GB2312"/>
          <w:kern w:val="0"/>
          <w:sz w:val="30"/>
          <w:szCs w:val="30"/>
          <w:lang w:val="en-US" w:eastAsia="zh-CN"/>
        </w:rPr>
        <w:t>407.84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407.84</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407.84</w:t>
      </w:r>
      <w:r>
        <w:rPr>
          <w:rFonts w:eastAsia="仿宋_GB2312"/>
          <w:kern w:val="0"/>
          <w:sz w:val="30"/>
          <w:szCs w:val="30"/>
        </w:rPr>
        <w:t>万元，其中:本年收入</w:t>
      </w:r>
      <w:r>
        <w:rPr>
          <w:rFonts w:hint="eastAsia" w:eastAsia="仿宋_GB2312"/>
          <w:kern w:val="0"/>
          <w:sz w:val="30"/>
          <w:szCs w:val="30"/>
          <w:lang w:val="en-US" w:eastAsia="zh-CN"/>
        </w:rPr>
        <w:t>407.84</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407.84</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407.84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407.84</w:t>
      </w:r>
      <w:r>
        <w:rPr>
          <w:rFonts w:eastAsia="仿宋_GB2312"/>
          <w:kern w:val="0"/>
          <w:sz w:val="30"/>
          <w:szCs w:val="30"/>
        </w:rPr>
        <w:t>万元，其中，基本支出</w:t>
      </w:r>
      <w:r>
        <w:rPr>
          <w:rFonts w:hint="eastAsia" w:eastAsia="仿宋_GB2312"/>
          <w:kern w:val="0"/>
          <w:sz w:val="30"/>
          <w:szCs w:val="30"/>
          <w:lang w:val="en-US" w:eastAsia="zh-CN"/>
        </w:rPr>
        <w:t>407.84</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5"/>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5"/>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教育支出-普通教育-初中教育320.44万元，主要用于工资福利支出和日常学校运行运转。</w:t>
      </w:r>
    </w:p>
    <w:p>
      <w:pPr>
        <w:pStyle w:val="15"/>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“2080502”社会保障和就业支出-行政事业单位离退休-事业单位单位离退休0.24万元，主要用于离退休人员公用经费支出。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事业单位基本养老保险缴费支出51.96万元，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35.20</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kern w:val="0"/>
          <w:sz w:val="30"/>
          <w:szCs w:val="30"/>
          <w:lang w:val="en-US" w:eastAsia="zh-CN"/>
        </w:rPr>
        <w:t>2050203初中教育320.44万元，其中：基本支出320.44万元，主要用于工资福利支出318.83万元；商品和服务支出1.61万元；项目支出0万元。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2080502事业单位离退休0.24万元，其中：商品和服务支出0.24万元；项目支出0万元。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2080505机关事业单位基本养老保险缴费支出51.96万元，其中:工资福利支出51.96万元;项目支出0万元。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2210201住房公积金35.20万元，其中：工资福利支出35.20万元;项目支出0万元。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对下专项土地改革在转移支付项目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eastAsia="zh-CN"/>
        </w:rPr>
        <w:t>本单位</w:t>
      </w:r>
      <w:r>
        <w:rPr>
          <w:rFonts w:hint="eastAsia" w:eastAsia="仿宋_GB2312"/>
          <w:kern w:val="0"/>
          <w:sz w:val="30"/>
          <w:szCs w:val="30"/>
          <w:lang w:val="en-US" w:eastAsia="zh-CN"/>
        </w:rPr>
        <w:t>2019年无政府采购预算</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太平镇芒允中学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0.50</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0.50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0.5</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0.5</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0.5</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2019年部门预算收入407.84</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334.20万元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73.64万元，增22.03%。增加原因：调增人员工资。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5"/>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太平镇芒允中学无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机关运行经费共安排</w:t>
      </w:r>
      <w:r>
        <w:rPr>
          <w:rFonts w:hint="eastAsia" w:ascii="仿宋_GB2312" w:eastAsia="仿宋_GB2312"/>
          <w:kern w:val="0"/>
          <w:sz w:val="30"/>
          <w:szCs w:val="30"/>
          <w:lang w:val="en-US" w:eastAsia="zh-CN"/>
        </w:rPr>
        <w:t>2.35</w:t>
      </w:r>
      <w:r>
        <w:rPr>
          <w:rFonts w:hint="eastAsia" w:ascii="仿宋_GB2312" w:eastAsia="仿宋_GB2312"/>
          <w:kern w:val="0"/>
          <w:sz w:val="30"/>
          <w:szCs w:val="30"/>
        </w:rPr>
        <w:t>万元，主要用于办公费</w:t>
      </w:r>
      <w:r>
        <w:rPr>
          <w:rFonts w:hint="eastAsia" w:ascii="仿宋_GB2312" w:eastAsia="仿宋_GB2312"/>
          <w:kern w:val="0"/>
          <w:sz w:val="30"/>
          <w:szCs w:val="30"/>
          <w:lang w:val="en-US" w:eastAsia="zh-CN"/>
        </w:rPr>
        <w:t>0.69</w:t>
      </w:r>
      <w:r>
        <w:rPr>
          <w:rFonts w:hint="eastAsia" w:ascii="仿宋_GB2312" w:eastAsia="仿宋_GB2312"/>
          <w:kern w:val="0"/>
          <w:sz w:val="30"/>
          <w:szCs w:val="30"/>
        </w:rPr>
        <w:t>万元、</w:t>
      </w:r>
      <w:r>
        <w:rPr>
          <w:rFonts w:hint="eastAsia" w:ascii="仿宋_GB2312" w:eastAsia="仿宋_GB2312"/>
          <w:kern w:val="0"/>
          <w:sz w:val="30"/>
          <w:szCs w:val="30"/>
          <w:lang w:eastAsia="zh-CN"/>
        </w:rPr>
        <w:t>会议费</w:t>
      </w:r>
      <w:r>
        <w:rPr>
          <w:rFonts w:hint="eastAsia" w:ascii="仿宋_GB2312" w:eastAsia="仿宋_GB2312"/>
          <w:kern w:val="0"/>
          <w:sz w:val="30"/>
          <w:szCs w:val="30"/>
          <w:lang w:val="en-US" w:eastAsia="zh-CN"/>
        </w:rPr>
        <w:t>1.16</w:t>
      </w:r>
      <w:r>
        <w:rPr>
          <w:rFonts w:hint="eastAsia" w:ascii="仿宋_GB2312" w:eastAsia="仿宋_GB2312"/>
          <w:kern w:val="0"/>
          <w:sz w:val="30"/>
          <w:szCs w:val="30"/>
        </w:rPr>
        <w:t>万元</w:t>
      </w:r>
      <w:r>
        <w:rPr>
          <w:rFonts w:hint="eastAsia" w:ascii="仿宋_GB2312" w:eastAsia="仿宋_GB2312"/>
          <w:kern w:val="0"/>
          <w:sz w:val="30"/>
          <w:szCs w:val="30"/>
          <w:lang w:eastAsia="zh-CN"/>
        </w:rPr>
        <w:t>、公务接待费</w:t>
      </w:r>
      <w:r>
        <w:rPr>
          <w:rFonts w:hint="eastAsia" w:ascii="仿宋_GB2312" w:eastAsia="仿宋_GB2312"/>
          <w:kern w:val="0"/>
          <w:sz w:val="30"/>
          <w:szCs w:val="30"/>
          <w:lang w:val="en-US" w:eastAsia="zh-CN"/>
        </w:rPr>
        <w:t>0.5万元。</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407.84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407.84</w:t>
      </w:r>
      <w:r>
        <w:rPr>
          <w:rFonts w:eastAsia="仿宋_GB2312"/>
          <w:kern w:val="0"/>
          <w:sz w:val="30"/>
          <w:szCs w:val="30"/>
        </w:rPr>
        <w:t>万元，其中，基本支出</w:t>
      </w:r>
      <w:r>
        <w:rPr>
          <w:rFonts w:hint="eastAsia" w:eastAsia="仿宋_GB2312"/>
          <w:kern w:val="0"/>
          <w:sz w:val="30"/>
          <w:szCs w:val="30"/>
          <w:lang w:val="en-US" w:eastAsia="zh-CN"/>
        </w:rPr>
        <w:t>407.84</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065A"/>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C13DBB"/>
    <w:rsid w:val="02450888"/>
    <w:rsid w:val="025737A0"/>
    <w:rsid w:val="03CD50E7"/>
    <w:rsid w:val="03F0214E"/>
    <w:rsid w:val="04CF1775"/>
    <w:rsid w:val="05616F12"/>
    <w:rsid w:val="061D49D6"/>
    <w:rsid w:val="06325B44"/>
    <w:rsid w:val="06E43398"/>
    <w:rsid w:val="0810293A"/>
    <w:rsid w:val="084A3CB5"/>
    <w:rsid w:val="0A976B9D"/>
    <w:rsid w:val="0AB77A2F"/>
    <w:rsid w:val="0C774D69"/>
    <w:rsid w:val="0F3335F5"/>
    <w:rsid w:val="105A3BDF"/>
    <w:rsid w:val="117809B5"/>
    <w:rsid w:val="13E820E1"/>
    <w:rsid w:val="13F52A67"/>
    <w:rsid w:val="141A27E9"/>
    <w:rsid w:val="14594CAF"/>
    <w:rsid w:val="15CF4088"/>
    <w:rsid w:val="16C85A74"/>
    <w:rsid w:val="18194B15"/>
    <w:rsid w:val="19314F59"/>
    <w:rsid w:val="1957779C"/>
    <w:rsid w:val="1A0B3DDD"/>
    <w:rsid w:val="1A685806"/>
    <w:rsid w:val="1C737DA9"/>
    <w:rsid w:val="1EDF5B0B"/>
    <w:rsid w:val="206C0510"/>
    <w:rsid w:val="207165AF"/>
    <w:rsid w:val="20771576"/>
    <w:rsid w:val="21A54BF9"/>
    <w:rsid w:val="21B76D32"/>
    <w:rsid w:val="22003BF0"/>
    <w:rsid w:val="23293A4E"/>
    <w:rsid w:val="23C6578F"/>
    <w:rsid w:val="242E2599"/>
    <w:rsid w:val="24367EEC"/>
    <w:rsid w:val="24721F96"/>
    <w:rsid w:val="26BF2FF3"/>
    <w:rsid w:val="27530549"/>
    <w:rsid w:val="27E3128E"/>
    <w:rsid w:val="2894273E"/>
    <w:rsid w:val="28D26D48"/>
    <w:rsid w:val="29F4749C"/>
    <w:rsid w:val="2B696D85"/>
    <w:rsid w:val="2D7B7E3A"/>
    <w:rsid w:val="2DA75286"/>
    <w:rsid w:val="2E105A63"/>
    <w:rsid w:val="2F6C08FA"/>
    <w:rsid w:val="2FD25EA1"/>
    <w:rsid w:val="30D85C38"/>
    <w:rsid w:val="30F85375"/>
    <w:rsid w:val="31C6316B"/>
    <w:rsid w:val="31EE64E1"/>
    <w:rsid w:val="33E37726"/>
    <w:rsid w:val="369B6FF2"/>
    <w:rsid w:val="370F3DA1"/>
    <w:rsid w:val="39466C4F"/>
    <w:rsid w:val="39BF048F"/>
    <w:rsid w:val="3A8C77EA"/>
    <w:rsid w:val="3B3A0A32"/>
    <w:rsid w:val="3C817538"/>
    <w:rsid w:val="3CC32D4E"/>
    <w:rsid w:val="3D7C2415"/>
    <w:rsid w:val="3FA316F2"/>
    <w:rsid w:val="43131F13"/>
    <w:rsid w:val="43C35C3E"/>
    <w:rsid w:val="44A11F66"/>
    <w:rsid w:val="45166B3A"/>
    <w:rsid w:val="459E2C57"/>
    <w:rsid w:val="46D61E29"/>
    <w:rsid w:val="48347F42"/>
    <w:rsid w:val="48BA0E0E"/>
    <w:rsid w:val="49434613"/>
    <w:rsid w:val="4A940EA9"/>
    <w:rsid w:val="4C5E051D"/>
    <w:rsid w:val="4DF0620F"/>
    <w:rsid w:val="4E1878C9"/>
    <w:rsid w:val="4E530B2F"/>
    <w:rsid w:val="4F462F65"/>
    <w:rsid w:val="4FC334A8"/>
    <w:rsid w:val="507B0850"/>
    <w:rsid w:val="50F26431"/>
    <w:rsid w:val="515A348C"/>
    <w:rsid w:val="51AA5659"/>
    <w:rsid w:val="51C268BE"/>
    <w:rsid w:val="524054E5"/>
    <w:rsid w:val="564C72BA"/>
    <w:rsid w:val="57AD6BAB"/>
    <w:rsid w:val="5825432A"/>
    <w:rsid w:val="58310B0B"/>
    <w:rsid w:val="5AB4032D"/>
    <w:rsid w:val="5AEC6057"/>
    <w:rsid w:val="5C075636"/>
    <w:rsid w:val="5CF27596"/>
    <w:rsid w:val="5D936EC0"/>
    <w:rsid w:val="5DDB63FE"/>
    <w:rsid w:val="5E7D384C"/>
    <w:rsid w:val="5E81246A"/>
    <w:rsid w:val="5F887662"/>
    <w:rsid w:val="656D618F"/>
    <w:rsid w:val="65756AF5"/>
    <w:rsid w:val="65E20823"/>
    <w:rsid w:val="66447E71"/>
    <w:rsid w:val="67D95CA6"/>
    <w:rsid w:val="67DD5DBE"/>
    <w:rsid w:val="68083500"/>
    <w:rsid w:val="68C77134"/>
    <w:rsid w:val="68EE7CE3"/>
    <w:rsid w:val="69335F3B"/>
    <w:rsid w:val="69C506CD"/>
    <w:rsid w:val="69C53941"/>
    <w:rsid w:val="6A1C4EE8"/>
    <w:rsid w:val="6A8C3BB7"/>
    <w:rsid w:val="6AFE659A"/>
    <w:rsid w:val="6CAC668F"/>
    <w:rsid w:val="6DA47EEE"/>
    <w:rsid w:val="6E2C523E"/>
    <w:rsid w:val="6F09381C"/>
    <w:rsid w:val="6FCD3E36"/>
    <w:rsid w:val="724A4A01"/>
    <w:rsid w:val="72F37DB5"/>
    <w:rsid w:val="735E0F0B"/>
    <w:rsid w:val="73CB0FA6"/>
    <w:rsid w:val="75F37398"/>
    <w:rsid w:val="761A3484"/>
    <w:rsid w:val="7632752A"/>
    <w:rsid w:val="76C22F3D"/>
    <w:rsid w:val="7779331C"/>
    <w:rsid w:val="77D46EE6"/>
    <w:rsid w:val="783D31F1"/>
    <w:rsid w:val="79910928"/>
    <w:rsid w:val="7B1E5394"/>
    <w:rsid w:val="7BFF72BA"/>
    <w:rsid w:val="7CC5101A"/>
    <w:rsid w:val="7E39766E"/>
    <w:rsid w:val="7E9E748B"/>
    <w:rsid w:val="7F66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Strong"/>
    <w:qFormat/>
    <w:uiPriority w:val="0"/>
    <w:rPr>
      <w:b/>
      <w:bCs/>
    </w:rPr>
  </w:style>
  <w:style w:type="character" w:styleId="10">
    <w:name w:val="Hyperlink"/>
    <w:basedOn w:val="8"/>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3">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4">
    <w:name w:val="Normal (Web)"/>
    <w:basedOn w:val="1"/>
    <w:qFormat/>
    <w:uiPriority w:val="0"/>
    <w:pPr>
      <w:jc w:val="left"/>
    </w:pPr>
    <w:rPr>
      <w:kern w:val="0"/>
      <w:sz w:val="24"/>
    </w:rPr>
  </w:style>
  <w:style w:type="paragraph" w:customStyle="1" w:styleId="15">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4</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2019-04-29T09:48:26Z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